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2023年度金华市科技专项资金补助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8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申报表</w:t>
      </w:r>
    </w:p>
    <w:p>
      <w:pPr>
        <w:tabs>
          <w:tab w:val="left" w:pos="3160"/>
          <w:tab w:val="left" w:pos="6100"/>
        </w:tabs>
        <w:spacing w:after="93" w:afterLines="30" w:line="400" w:lineRule="exact"/>
        <w:ind w:left="219" w:leftChars="-93" w:hanging="414" w:hangingChars="148"/>
        <w:rPr>
          <w:rFonts w:ascii="楷体_GB2312" w:hAnsi="楷体_GB2312" w:eastAsia="楷体_GB2312" w:cs="楷体_GB2312"/>
          <w:color w:val="000000"/>
          <w:sz w:val="28"/>
          <w:szCs w:val="28"/>
          <w:u w:val="single"/>
        </w:r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填报时间：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联系人：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ab/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联系方式：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  <w:u w:val="single"/>
        </w:rPr>
        <w:t xml:space="preserve">            </w:t>
      </w:r>
    </w:p>
    <w:tbl>
      <w:tblPr>
        <w:tblStyle w:val="7"/>
        <w:tblW w:w="93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63"/>
        <w:gridCol w:w="1879"/>
        <w:gridCol w:w="285"/>
        <w:gridCol w:w="2463"/>
        <w:gridCol w:w="111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基本信息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法定代表人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所在县/市/区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开户行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4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申请信息</w:t>
            </w: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政策依据</w:t>
            </w:r>
          </w:p>
        </w:tc>
        <w:tc>
          <w:tcPr>
            <w:tcW w:w="6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《金华市人民政府关于推动高水平创新型城市建设的若干政策意见》（金政发〔2021〕7号）第一条：纳入统计部门研发费用统计范围的农业、工业、服务业、建筑业企业，其在税务部门申报的上年度允许加计扣除研发费用（扣除政府补助、委托外部机构研发费用部分）达到100万元以上的，按10%给予不超过200万元的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项目</w:t>
            </w:r>
          </w:p>
        </w:tc>
        <w:tc>
          <w:tcPr>
            <w:tcW w:w="6874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2023年度市区企业研发投入补助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补助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金额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18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允许加计扣除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委托外部机构研发费用（金华市域以外机构）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政府补助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审计确认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上报的2023年R&amp;D统计年报研发费用总额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79" w:type="dxa"/>
            <w:vMerge w:val="continue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85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“加计扣除”系统填报2022年研发费用总额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（万元）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申请理由</w:t>
            </w:r>
          </w:p>
        </w:tc>
        <w:tc>
          <w:tcPr>
            <w:tcW w:w="6874" w:type="dxa"/>
            <w:gridSpan w:val="5"/>
            <w:noWrap w:val="0"/>
            <w:vAlign w:val="center"/>
          </w:tcPr>
          <w:p>
            <w:pPr>
              <w:widowControl w:val="0"/>
              <w:spacing w:line="4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符合《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金华市科学技术局关于申报20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年度市区企业研发投入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补助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通知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》的要求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8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佐证材料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清单</w:t>
            </w:r>
          </w:p>
        </w:tc>
        <w:tc>
          <w:tcPr>
            <w:tcW w:w="68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1.税务部门加计扣除系统的研发费用加计扣除2023年度申报表和统计部门统计系统填报的年度报表107-1、107-2（规下样本企业提供117表）；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2.在研项目列表；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3.专项审计报告；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val="en-US" w:eastAsia="zh-CN"/>
              </w:rPr>
              <w:t>4.申请金华市科技专项资金奖励（补助）承诺书。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县（市、区）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科技局意见</w:t>
            </w:r>
          </w:p>
        </w:tc>
        <w:tc>
          <w:tcPr>
            <w:tcW w:w="6874" w:type="dxa"/>
            <w:gridSpan w:val="5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：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年   月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  <w:jc w:val="center"/>
        </w:trPr>
        <w:tc>
          <w:tcPr>
            <w:tcW w:w="251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市科技局意见</w:t>
            </w:r>
          </w:p>
        </w:tc>
        <w:tc>
          <w:tcPr>
            <w:tcW w:w="6874" w:type="dxa"/>
            <w:gridSpan w:val="5"/>
            <w:noWrap w:val="0"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  <w:lang w:eastAsia="zh-CN"/>
              </w:rPr>
              <w:t>盖章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：        </w:t>
            </w:r>
          </w:p>
          <w:p>
            <w:pPr>
              <w:wordWrap w:val="0"/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 xml:space="preserve">年   月   日    </w:t>
            </w:r>
          </w:p>
        </w:tc>
      </w:tr>
    </w:tbl>
    <w:p>
      <w:pPr>
        <w:spacing w:line="400" w:lineRule="exact"/>
        <w:jc w:val="left"/>
        <w:rPr>
          <w:rFonts w:eastAsia="仿宋_GB2312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注：</w:t>
      </w:r>
      <w:r>
        <w:rPr>
          <w:rFonts w:ascii="Times New Roman" w:hAnsi="Times New Roman" w:eastAsia="楷体_GB2312"/>
          <w:color w:val="000000"/>
          <w:sz w:val="28"/>
          <w:szCs w:val="28"/>
        </w:rPr>
        <w:t>具体佐证材料请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以附件形式</w:t>
      </w:r>
      <w:r>
        <w:rPr>
          <w:rFonts w:hint="eastAsia" w:ascii="Times New Roman" w:hAnsi="Times New Roman" w:eastAsia="楷体_GB2312"/>
          <w:color w:val="000000"/>
          <w:sz w:val="28"/>
          <w:szCs w:val="28"/>
          <w:lang w:eastAsia="zh-CN"/>
        </w:rPr>
        <w:t>上传</w:t>
      </w:r>
      <w:r>
        <w:rPr>
          <w:rFonts w:hint="eastAsia" w:ascii="Times New Roman" w:hAnsi="Times New Roman" w:eastAsia="楷体_GB2312"/>
          <w:color w:val="000000"/>
          <w:sz w:val="28"/>
          <w:szCs w:val="28"/>
        </w:rPr>
        <w:t>递交。</w:t>
      </w: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00" w:lineRule="exact"/>
        <w:jc w:val="center"/>
        <w:textAlignment w:val="auto"/>
        <w:rPr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2023年度研发费用加计扣除优惠明细表</w:t>
      </w:r>
    </w:p>
    <w:tbl>
      <w:tblPr>
        <w:tblStyle w:val="7"/>
        <w:tblW w:w="912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6"/>
        <w:gridCol w:w="7243"/>
        <w:gridCol w:w="1121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tblHeader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行次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  目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（数量）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本年可享受研发费用加计扣除项目数量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一、自主研发、合作研发、集中研发（3+7+16+19+23+34）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（一）人员人工费用（4+5+6）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直接从事研发活动人员工资薪金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直接从事研发活动人员五险一金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外聘研发人员的劳务费用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（二）直接投入费用（8+9+10+11+12+13+14+15）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研发活动直接消耗材料费用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2.研发活动直接消耗燃料费用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研发活动直接消耗动力费用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用于中间试验和产品试制的模具、工艺装备开发及制造费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用于不构成固定资产的样品、样机及一般测试手段购置费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6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用于试制产品的检验费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7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用于研发活动的仪器、设备的运行维护、调整、检验、维修等费用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8.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通过经营租赁方式租入的用于研发活动的仪器、设备租赁费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（三）折旧费用（17+18）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用于研发活动的仪器的折旧费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用于研发活动的设备的折旧费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（四）无形资产摊销（20+21+22）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用于研发活动的软件的摊销费用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用于研发活动的专利权的摊销费用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用于研发活动的非专利技术（包括许可证、专有技术、设计和计算方法等）的摊销费用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（五）新产品设计费等</w:t>
            </w:r>
            <w:r>
              <w:rPr>
                <w:rStyle w:val="12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（24+25+26+27）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</w:t>
            </w:r>
            <w:r>
              <w:rPr>
                <w:rStyle w:val="11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新产品设计费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新工艺规程制定费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3.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新药研制的临床试验费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4.勘探开发技术的现场试验费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（六）其他相关费用（29+30+31+32+33）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1.技术图书资料费、资料翻译费、专家咨询费、高新科技研发保险费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2.研发成果的检索、分析、评议、论证、鉴定、评审、评估、验收费用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3.知识产权的申请费、注册费、代理费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4.职工福利费、补充养老保险费、补充医疗保险费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5.差旅费、会议费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40" w:firstLineChars="1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（七）经限额调整后的其他相关费用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二、委托研发（36+37+39）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（一）委托境内机构或个人进行研发活动所发生的费用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Style w:val="10"/>
                <w:rFonts w:hint="default" w:ascii="Times New Roman" w:hAnsi="Times New Roman" w:eastAsia="仿宋_GB2312" w:cs="Times New Roman"/>
                <w:sz w:val="24"/>
                <w:szCs w:val="24"/>
                <w:lang w:val="en-US" w:eastAsia="zh-CN" w:bidi="ar"/>
              </w:rPr>
              <w:t>（二）委托境外机构进行研发活动发生的费用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960" w:firstLineChars="4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6"/>
                <w:kern w:val="0"/>
                <w:sz w:val="24"/>
                <w:szCs w:val="24"/>
                <w:u w:val="none"/>
                <w:lang w:val="en-US" w:eastAsia="zh-CN" w:bidi="ar"/>
              </w:rPr>
              <w:t>：允许加计扣除的委托境外机构进行研发活动发生的费用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（三）委托境外个人进行研发活动发生的费用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三、年度研发费用小计（2+36×80%+38）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（一）本年费用化金额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（二）本年资金化金额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四、本年形成无形资产摊销额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五、以前年度形成无形资产本年摊销额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六、允许扣除的研发费用合计（41+43+44）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减：特殊收入部分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七、允许扣除的研发费用抵减特殊收入后的金额（45-46）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减：当年销售研发活动直接形成产品（包括组成部分）对应的材料部分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减：以前年度销售研发活动直接形成产品（包括组成部分）对应材料部分结转金额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八、加计扣除比例及计算方法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本年允许加计扣除的研发费用总额（47-48-49）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L1.1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其中：第四季度允许加计扣除的研发费用金额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L1.2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前三季度允许加计扣除的研发费用金额（L1-L1.1）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九、本年研发费用加计扣除总额（47-48-49）×50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9" w:hRule="atLeast"/>
          <w:jc w:val="center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52</w:t>
            </w:r>
          </w:p>
        </w:tc>
        <w:tc>
          <w:tcPr>
            <w:tcW w:w="7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1" w:type="dxa"/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十、销售研发活动直接形成产品（包括组成部分）对应材料部分结转以后年度扣减金额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（当47-48-49≥0，本行=0；当47-48-49&lt;0，本行=47-48-49的绝对值）</w:t>
            </w:r>
          </w:p>
        </w:tc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1" w:type="dxa"/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left"/>
        <w:rPr>
          <w:rFonts w:hint="eastAsia" w:ascii="黑体" w:hAnsi="黑体" w:eastAsia="黑体" w:cs="黑体"/>
          <w:color w:val="000000"/>
          <w:sz w:val="28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8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8"/>
          <w:szCs w:val="44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color w:val="000000"/>
          <w:sz w:val="28"/>
          <w:szCs w:val="44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2098" w:right="1474" w:bottom="1984" w:left="158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ind w:firstLine="0" w:firstLineChars="0"/>
        <w:jc w:val="both"/>
        <w:textAlignment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b w:val="0"/>
          <w:bCs w:val="0"/>
          <w:i w:val="0"/>
          <w:color w:val="000000"/>
          <w:kern w:val="2"/>
          <w:sz w:val="32"/>
          <w:szCs w:val="32"/>
          <w:u w:val="none"/>
          <w:lang w:val="en-US" w:eastAsia="zh-CN" w:bidi="ar"/>
        </w:rPr>
        <w:t xml:space="preserve">附件3   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widowControl w:val="0"/>
        <w:suppressLineNumbers w:val="0"/>
        <w:spacing w:line="360" w:lineRule="auto"/>
        <w:ind w:firstLine="0" w:firstLineChars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在研项目列表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（单位：万元）</w:t>
      </w:r>
    </w:p>
    <w:p>
      <w:pPr>
        <w:keepNext w:val="0"/>
        <w:keepLines w:val="0"/>
        <w:widowControl w:val="0"/>
        <w:suppressLineNumbers w:val="0"/>
        <w:ind w:firstLine="0" w:firstLineChars="0"/>
        <w:jc w:val="left"/>
        <w:textAlignment w:val="center"/>
        <w:rPr>
          <w:rFonts w:hint="eastAsia" w:ascii="黑体" w:hAnsi="黑体" w:eastAsia="黑体" w:cs="黑体"/>
          <w:i w:val="0"/>
          <w:color w:val="000000"/>
          <w:sz w:val="24"/>
          <w:szCs w:val="24"/>
          <w:u w:val="none"/>
          <w:lang w:val="en-US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填报单位：（盖章）                                                         联系人：               手机号码：</w:t>
      </w:r>
    </w:p>
    <w:tbl>
      <w:tblPr>
        <w:tblStyle w:val="7"/>
        <w:tblW w:w="147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3"/>
        <w:gridCol w:w="2271"/>
        <w:gridCol w:w="3260"/>
        <w:gridCol w:w="1100"/>
        <w:gridCol w:w="1222"/>
        <w:gridCol w:w="1167"/>
        <w:gridCol w:w="1127"/>
        <w:gridCol w:w="1060"/>
        <w:gridCol w:w="1546"/>
        <w:gridCol w:w="13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项目名称 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项目实施期限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年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--   年  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Style w:val="13"/>
                <w:rFonts w:hint="eastAsia" w:hAnsi="黑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当年研发费用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当年委外费用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其中委托金市区域以外部分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其中委托金市区域以内部分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当年政府补助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当年申报研发费用补助金额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...</w:t>
            </w:r>
          </w:p>
        </w:tc>
        <w:tc>
          <w:tcPr>
            <w:tcW w:w="2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2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eastAsia="zh-CN" w:bidi="ar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Times New Roman" w:eastAsia="黑体" w:cs="黑体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4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70" w:line="3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2023年度市区企业研发投入补助申请汇总表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（单位：万元）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/>
        <w:jc w:val="left"/>
        <w:textAlignment w:val="center"/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24"/>
          <w:szCs w:val="24"/>
          <w:lang w:val="en-US" w:eastAsia="zh-CN" w:bidi="ar"/>
        </w:rPr>
        <w:t>填报单位：（盖章）                                                               联系人：             手机：</w:t>
      </w:r>
    </w:p>
    <w:tbl>
      <w:tblPr>
        <w:tblStyle w:val="7"/>
        <w:tblW w:w="14840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2023"/>
        <w:gridCol w:w="1574"/>
        <w:gridCol w:w="976"/>
        <w:gridCol w:w="977"/>
        <w:gridCol w:w="977"/>
        <w:gridCol w:w="977"/>
        <w:gridCol w:w="977"/>
        <w:gridCol w:w="977"/>
        <w:gridCol w:w="1020"/>
        <w:gridCol w:w="1020"/>
        <w:gridCol w:w="977"/>
        <w:gridCol w:w="172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申报补助金额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允许加计扣除金额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委托外部机构研发费用总额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政府补助总额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审计确认总额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上报的2023年R&amp;D统计年报研发费用总额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“加计扣除”系统填报的研发费用总额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亩均效益评价等级（按最新评价结果）</w:t>
            </w: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是否为规上</w:t>
            </w:r>
          </w:p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企业或规下样本企业</w:t>
            </w: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202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643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3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74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7" w:type="dxa"/>
            <w:tcBorders>
              <w:tl2br w:val="nil"/>
              <w:tr2bl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22" w:type="dxa"/>
            <w:tcBorders>
              <w:tl2br w:val="nil"/>
              <w:tr2bl w:val="nil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napToGrid w:val="0"/>
        <w:spacing w:line="360" w:lineRule="exact"/>
        <w:rPr>
          <w:rFonts w:hint="eastAsia" w:ascii="Times New Roman" w:hAnsi="Times New Roman" w:eastAsia="宋体" w:cs="Times New Roman"/>
        </w:rPr>
      </w:pPr>
      <w:r>
        <w:rPr>
          <w:rFonts w:hint="eastAsia" w:ascii="仿宋_GB2312" w:hAnsi="Times New Roman" w:eastAsia="仿宋_GB2312" w:cs="Times New Roman"/>
          <w:color w:val="000000"/>
          <w:sz w:val="24"/>
        </w:rPr>
        <w:t>备注：此表由区科技主管部门填写汇总。</w:t>
      </w:r>
    </w:p>
    <w:p>
      <w:pPr>
        <w:spacing w:line="360" w:lineRule="exact"/>
        <w:jc w:val="center"/>
        <w:sectPr>
          <w:pgSz w:w="16838" w:h="11906" w:orient="landscape"/>
          <w:pgMar w:top="1417" w:right="1417" w:bottom="1417" w:left="1417" w:header="851" w:footer="136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</w:p>
    <w:p>
      <w:pPr>
        <w:jc w:val="left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核准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&lt;减&gt;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口径</w:t>
      </w:r>
    </w:p>
    <w:p>
      <w:pPr>
        <w:pStyle w:val="2"/>
        <w:spacing w:line="540" w:lineRule="exact"/>
        <w:ind w:firstLine="640" w:firstLineChars="200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委托外部机构研发费用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委托外部机构研发费用是指研发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项目委托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注册地在金华市域以外机构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，包括合作开发、委托开发等所产生的直接费用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二、政府补助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政府补助是指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被审计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研发项目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三年内（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年1月1日-202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年12月31日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享受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各级政府部门的科技计划项目、产业化项目、网络经济项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目、商务和人才专项等资金补助，且专项用于申报研发费用相关项目的奖励或补助，其中：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1.设备购置资金补助：购入设备用于单个研发项目，且设备已获得过补助，在此项目研发投入中核减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额；购入设备供多个项目研发使用或与生产共用的不予核减。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2.人才资金补助：由政府部门或企业引进的科技人才，属个人享受政府人才资金补助的，其参加的研发项目经费不核减；属政府部门或企业引进人才专项项目，并享受过政府资金补助的，在该项目对应的研发投入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核减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相应金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3.专利奖励：研发项目取得的专利获得过专利奖励资金的不核减。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4.跨年度项目仅核减本年度研发投入相应的政府补助。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000000"/>
          <w:sz w:val="28"/>
          <w:szCs w:val="4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5.研发费用补助申报数，统一采集2023年度研发费用加计扣除优惠明细表第45行次的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允许扣除的研发费用合计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数据。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44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附件6</w:t>
      </w:r>
    </w:p>
    <w:p>
      <w:pPr>
        <w:pStyle w:val="2"/>
        <w:spacing w:line="240" w:lineRule="exact"/>
        <w:rPr>
          <w:rFonts w:hint="eastAsia"/>
          <w:lang w:val="en-US" w:eastAsia="zh-CN"/>
        </w:rPr>
      </w:pPr>
    </w:p>
    <w:p>
      <w:pPr>
        <w:spacing w:before="0" w:beforeLines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申请金华市科技专项资金奖励（补助）的</w:t>
      </w:r>
    </w:p>
    <w:p>
      <w:pPr>
        <w:spacing w:beforeLines="0" w:after="0" w:line="6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承诺书</w:t>
      </w:r>
    </w:p>
    <w:p>
      <w:pPr>
        <w:spacing w:beforeLines="0" w:after="0" w:line="520" w:lineRule="exact"/>
        <w:ind w:firstLine="880" w:firstLineChars="200"/>
        <w:jc w:val="both"/>
        <w:outlineLvl w:val="0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spacing w:beforeLines="0" w:line="520" w:lineRule="exact"/>
        <w:ind w:firstLine="0" w:firstLineChars="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单位承诺：</w:t>
      </w:r>
    </w:p>
    <w:p>
      <w:pPr>
        <w:spacing w:before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1.本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单位已认真阅读《金华市人民政府关于推动高水平创新型城市建设的若干政策意见》（金政发〔2021〕7号）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《〈关于推动高水平创新型城市建设的若干政策意见〉实施细则》（金市科〔2021〕47号）及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《金华市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科学技术局关于申报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2023年度市区企业研发投入补助的通知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》（金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号）对金华市科技专项资金奖励（补助）的条件已经知晓，经过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单位对照，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单位已经符合金华市科技专项奖励（补助）的条件。</w:t>
      </w:r>
    </w:p>
    <w:p>
      <w:pPr>
        <w:spacing w:before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单位根据金政发〔2021〕7号、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金市科〔2021〕47号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市科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号要求提出申请，在此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单位承诺，所提供的材料完全属实，不存在隐瞒、歪曲、欺诈等失真情况。</w:t>
      </w:r>
    </w:p>
    <w:p>
      <w:pPr>
        <w:spacing w:before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单位在信用金华平台上   （填有/无）不良记录，需要说明的诚信问题已向所在区科技部门报备。</w:t>
      </w:r>
    </w:p>
    <w:p>
      <w:pPr>
        <w:spacing w:beforeLines="0" w:line="52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若违背上述承诺，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单位愿意承担全部责任，无条件退回申报的科技专项资金补助，并由科技部门依法处理。</w:t>
      </w:r>
    </w:p>
    <w:p>
      <w:pPr>
        <w:spacing w:beforeLines="0"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单位名称（盖章）：                   </w:t>
      </w:r>
    </w:p>
    <w:p>
      <w:pPr>
        <w:spacing w:line="48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单位法定代表人签字：            </w:t>
      </w:r>
    </w:p>
    <w:p>
      <w:pPr>
        <w:spacing w:line="480" w:lineRule="exact"/>
        <w:ind w:firstLine="4480" w:firstLineChars="14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  月  日</w:t>
      </w:r>
    </w:p>
    <w:p>
      <w:pPr>
        <w:rPr>
          <w:rFonts w:ascii="Times New Roman" w:hAnsi="Times New Roman" w:eastAsia="宋体" w:cs="Times New Roman"/>
        </w:rPr>
      </w:pPr>
      <w:r>
        <w:rPr>
          <w:rFonts w:ascii="楷体_GB2312" w:hAnsi="楷体_GB2312" w:eastAsia="楷体_GB2312" w:cs="楷体_GB2312"/>
          <w:color w:val="000000"/>
          <w:sz w:val="28"/>
          <w:szCs w:val="28"/>
        </w:rPr>
        <w:t>注：请签字盖章后扫描上传</w:t>
      </w:r>
      <w:r>
        <w:rPr>
          <w:rFonts w:hint="eastAsia" w:ascii="楷体_GB2312" w:hAnsi="楷体_GB2312" w:eastAsia="楷体_GB2312" w:cs="楷体_GB2312"/>
          <w:color w:val="000000"/>
          <w:sz w:val="28"/>
          <w:szCs w:val="28"/>
        </w:rPr>
        <w:t>。</w:t>
      </w:r>
    </w:p>
    <w:p>
      <w:pPr>
        <w:rPr>
          <w:rFonts w:ascii="Times New Roman" w:hAnsi="Times New Roman" w:eastAsia="宋体" w:cs="Times New Roman"/>
        </w:rPr>
        <w:sectPr>
          <w:headerReference r:id="rId7" w:type="default"/>
          <w:footerReference r:id="rId8" w:type="default"/>
          <w:pgSz w:w="11906" w:h="16838"/>
          <w:pgMar w:top="2098" w:right="1474" w:bottom="1757" w:left="1587" w:header="851" w:footer="1361" w:gutter="0"/>
          <w:cols w:space="720" w:num="1"/>
          <w:rtlGutter w:val="0"/>
          <w:docGrid w:type="lines" w:linePitch="312" w:charSpace="0"/>
        </w:sectPr>
      </w:pPr>
    </w:p>
    <w:p>
      <w:pPr>
        <w:pStyle w:val="2"/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3"/>
        <w:keepNext w:val="0"/>
        <w:keepLines w:val="0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3"/>
        <w:keepNext w:val="0"/>
        <w:keepLines w:val="0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hint="eastAsia" w:ascii="Times New Roman" w:hAnsi="Times New Roman" w:eastAsia="宋体" w:cs="Times New Roman"/>
          <w:lang w:eastAsia="zh-CN"/>
        </w:rPr>
      </w:pPr>
    </w:p>
    <w:p>
      <w:pPr>
        <w:pStyle w:val="3"/>
        <w:keepNext w:val="0"/>
        <w:keepLines w:val="0"/>
        <w:rPr>
          <w:rFonts w:hint="eastAsia" w:ascii="Times New Roman" w:hAnsi="Times New Roman" w:eastAsia="宋体" w:cs="Times New Roman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 w:ascii="Times New Roman" w:hAnsi="Times New Roman" w:eastAsia="宋体" w:cs="Times New Roman"/>
          <w:lang w:eastAsia="zh-CN"/>
        </w:rPr>
      </w:pPr>
    </w:p>
    <w:p/>
    <w:p>
      <w:pPr>
        <w:pStyle w:val="2"/>
      </w:pPr>
    </w:p>
    <w:p/>
    <w:p>
      <w:pPr>
        <w:pStyle w:val="2"/>
        <w:spacing w:line="240" w:lineRule="exact"/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pStyle w:val="2"/>
        <w:ind w:firstLine="0"/>
      </w:pPr>
    </w:p>
    <w:p/>
    <w:p>
      <w:pPr>
        <w:tabs>
          <w:tab w:val="left" w:pos="8687"/>
        </w:tabs>
        <w:spacing w:line="600" w:lineRule="exact"/>
        <w:ind w:firstLine="280" w:firstLineChars="100"/>
        <w:rPr>
          <w:rFonts w:hint="default" w:ascii="Times New Roman" w:hAnsi="Times New Roman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411480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2.4pt;height:0pt;width:441pt;mso-position-horizontal:center;z-index:251660288;mso-width-relative:page;mso-height-relative:page;" filled="f" stroked="t" coordsize="21600,21600" o:gfxdata="UEsFBgAAAAAAAAAAAAAAAAAAAAAAAFBLAwQKAAAAAACHTuJAAAAAAAAAAAAAAAAABAAAAGRycy9Q&#10;SwMEFAAAAAgAh07iQM0TsI/TAAAABgEAAA8AAABkcnMvZG93bnJldi54bWxNj81OwzAQhO9IvIO1&#10;SFwqajegKkrj9ADkxoUC4rqNt0lEvE5j9weenkUc4Dgzq5lvy/XZD+pIU+wDW1jMDSjiJrieWwuv&#10;L/VNDiomZIdDYLLwSRHW1eVFiYULJ36m4ya1Sko4FmihS2kstI5NRx7jPIzEku3C5DGJnFrtJjxJ&#10;uR90ZsxSe+xZFjoc6b6j5mNz8BZi/Ub7+mvWzMz7bRso2z88PaK111cLswKV6Jz+juEHX9ChEqZt&#10;OLCLarAgjyQLyzvhlzTPMzG2v4auSv0fv/oGUEsDBBQAAAAIAIdO4kCHzNi/4AEAAKcDAAAOAAAA&#10;ZHJzL2Uyb0RvYy54bWytU82O0zAQviPxDpbvNNlIXSBquoctywVBJeABpraTWPKfPG7TvgQvgMQN&#10;Thy58zYsj8HY7ZYFLgiRgzP2zHye78uXxdXeGrZTEbV3Hb+Y1ZwpJ7zUbuj42zc3j55whgmcBOOd&#10;6vhBIb9aPnywmEKrGj96I1VkBOKwnULHx5RCW1UoRmUBZz4oR8neRwuJtnGoZISJ0K2pmrq+rCYf&#10;ZYheKEQ6XR2TfFnw+16J9KrvUSVmOk6zpbLGsm7yWi0X0A4RwqjFaQz4hyksaEeXnqFWkIBto/4D&#10;ymoRPfo+zYS3le97LVThQGwu6t/YvB4hqMKFxMFwlgn/H6x4uVtHpmXHG84cWPpEt++/fHv38fvX&#10;D7Tefv7EmizSFLCl2mu3jqcdhnXMjPd9tPlNXNi+CHs4C6v2iQk6nF/W9eOa9Bd3uepnY4iYnitv&#10;WQ46brTLnKGF3QtMdBmV3pXkY+PY1PGn82ZOcECW6Q0kCm0gEuiG0oveaHmjjckdGIfNtYlsB9kE&#10;5cmUCPeXsnzJCnA81pXU0R6jAvnMSZYOgeRx5GOeR7BKcmYU2T5HBAhtAm3+ppKuNi43qGLRE8+s&#10;8VHVHG28PNCn2Yaoh5F0SXGrytg5SW4oBE7OzXa7v6f4/v+1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NE7CP0wAAAAYBAAAPAAAAAAAAAAEAIAAAADgAAABkcnMvZG93bnJldi54bWxQSwECFAAU&#10;AAAACACHTuJAh8zYv+ABAACn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3.5pt;height:0pt;width:441pt;mso-position-horizontal:center;z-index:251659264;mso-width-relative:page;mso-height-relative:page;" filled="f" stroked="t" coordsize="21600,21600" o:gfxdata="UEsFBgAAAAAAAAAAAAAAAAAAAAAAAFBLAwQKAAAAAACHTuJAAAAAAAAAAAAAAAAABAAAAGRycy9Q&#10;SwMEFAAAAAgAh07iQJtezwjSAAAABAEAAA8AAABkcnMvZG93bnJldi54bWxNj09PwzAMxe9IfIfI&#10;SFwmlqxIUHVNdwB648IY4uo1XlvROF2T/YFPj+ECJ/vpWc+/V67OflBHmmIf2MJibkARN8H13FrY&#10;vNY3OaiYkB0OgcnCJ0VYVZcXJRYunPiFjuvUKgnhWKCFLqWx0Do2HXmM8zASi7cLk8ckcmq1m/Ak&#10;4X7QmTF32mPP8qHDkR46aj7WB28h1m+0r79mzcy837aBsv3j8xNae321MEtQic7p7xh+8AUdKmHa&#10;hgO7qAYLUiRZuJchZp5nsmx/ta5K/R+++gZQSwMEFAAAAAgAh07iQHHn0L/hAQAApwMAAA4AAABk&#10;cnMvZTJvRG9jLnhtbK1TzY7TMBC+I/EOlu802a66sFHTPWxZLggqwT7A1HYSS/6Tx23al+AFkLjB&#10;iSN33oblMRi73bLABSFycMaemc/zffkyv9pZw7Yqovau5WeTmjPlhJfa9S2/fXvz5BlnmMBJMN6p&#10;lu8V8qvF40fzMTRq6gdvpIqMQBw2Y2j5kFJoqgrFoCzgxAflKNn5aCHRNvaVjDASujXVtK4vqtFH&#10;GaIXCpFOl4ckXxT8rlMive46VImZltNsqayxrOu8Vos5NH2EMGhxHAP+YQoL2tGlJ6glJGCbqP+A&#10;slpEj75LE+Ft5btOC1U4EJuz+jc2bwYIqnAhcTCcZML/BytebVeRadnyc84cWPpEd++/fHv38fvX&#10;D7Teff7EzrNIY8CGaq/dKh53GFYxM9510eY3cWG7Iuz+JKzaJSbocHZR109r0l/c56qfjSFieqG8&#10;ZTloudEuc4YGti8x0WVUel+Sj41jY8svZ9MZwQFZpjOQKLSBSKDrSy96o+WNNiZ3YOzX1yayLWQT&#10;lCdTItxfyvIlS8DhUFdSB3sMCuRzJ1naB5LHkY95HsEqyZlRZPscESA0CbT5m0q62rjcoIpFjzyz&#10;xgdVc7T2ck+fZhOi7gfSJcWNKmPnJLmhEDg6N9vt4Z7ih//X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bXs8I0gAAAAQBAAAPAAAAAAAAAAEAIAAAADgAAABkcnMvZG93bnJldi54bWxQSwECFAAU&#10;AAAACACHTuJAcefQv+EBAACnAwAADgAAAAAAAAABACAAAAA3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仿宋_GB2312" w:cs="Times New Roman"/>
          <w:sz w:val="28"/>
          <w:szCs w:val="28"/>
        </w:rPr>
        <w:t xml:space="preserve">金华市科学技术局办公室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10</w:t>
      </w:r>
      <w:r>
        <w:rPr>
          <w:rFonts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</w:p>
    <w:sectPr>
      <w:footerReference r:id="rId9" w:type="default"/>
      <w:pgSz w:w="11906" w:h="16838"/>
      <w:pgMar w:top="2098" w:right="1474" w:bottom="1757" w:left="1587" w:header="851" w:footer="1361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altName w:val="方正书宋_GBK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default" w:ascii="Times New Roman" w:hAnsi="Times New Roman" w:eastAsia="宋体" w:cs="Times New Roman"/>
        <w:sz w:val="28"/>
        <w:szCs w:val="28"/>
      </w:rPr>
    </w:pP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>2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 —</w:t>
    </w:r>
  </w:p>
  <w:p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9"/>
        <w:rFonts w:ascii="Times New Roman" w:hAnsi="Times New Roman" w:eastAsia="宋体" w:cs="Times New Roman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default" w:ascii="Times New Roman" w:hAnsi="Times New Roman" w:eastAsia="宋体" w:cs="Times New Roman"/>
        <w:sz w:val="28"/>
        <w:szCs w:val="28"/>
      </w:rPr>
    </w:pP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>6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 —</w:t>
    </w:r>
  </w:p>
  <w:p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9"/>
        <w:rFonts w:hint="default" w:ascii="Times New Roman" w:hAnsi="Times New Roman" w:eastAsia="宋体" w:cs="Times New Roman"/>
        <w:sz w:val="28"/>
        <w:szCs w:val="28"/>
      </w:rPr>
    </w:pP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— </w:t>
    </w:r>
    <w:r>
      <w:rPr>
        <w:rFonts w:hint="default" w:ascii="Times New Roman" w:hAnsi="Times New Roman" w:eastAsia="宋体" w:cs="Times New Roman"/>
        <w:sz w:val="28"/>
        <w:szCs w:val="28"/>
      </w:rPr>
      <w:fldChar w:fldCharType="begin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instrText xml:space="preserve">PAGE  </w:instrText>
    </w:r>
    <w:r>
      <w:rPr>
        <w:rFonts w:hint="default" w:ascii="Times New Roman" w:hAnsi="Times New Roman" w:eastAsia="宋体" w:cs="Times New Roman"/>
        <w:sz w:val="28"/>
        <w:szCs w:val="28"/>
      </w:rPr>
      <w:fldChar w:fldCharType="separate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>6</w:t>
    </w:r>
    <w:r>
      <w:rPr>
        <w:rFonts w:hint="default" w:ascii="Times New Roman" w:hAnsi="Times New Roman" w:eastAsia="宋体" w:cs="Times New Roman"/>
        <w:sz w:val="28"/>
        <w:szCs w:val="28"/>
      </w:rPr>
      <w:fldChar w:fldCharType="end"/>
    </w:r>
    <w:r>
      <w:rPr>
        <w:rStyle w:val="9"/>
        <w:rFonts w:hint="default" w:ascii="Times New Roman" w:hAnsi="Times New Roman" w:eastAsia="宋体" w:cs="Times New Roman"/>
        <w:sz w:val="28"/>
        <w:szCs w:val="28"/>
      </w:rPr>
      <w:t xml:space="preserve"> —</w:t>
    </w:r>
  </w:p>
  <w:p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rPr>
        <w:rFonts w:ascii="Times New Roman" w:hAnsi="Times New Roman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rPr>
        <w:rFonts w:ascii="Times New Roman" w:hAnsi="Times New Roman" w:eastAsia="宋体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trackRevisions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NzgzMGI0OTE2YTc3Mjc1OTJiOTI2MDJhZjNjMjAifQ=="/>
  </w:docVars>
  <w:rsids>
    <w:rsidRoot w:val="00007493"/>
    <w:rsid w:val="00007493"/>
    <w:rsid w:val="004E39BA"/>
    <w:rsid w:val="09E13C8C"/>
    <w:rsid w:val="0EE73304"/>
    <w:rsid w:val="1F4F4B6D"/>
    <w:rsid w:val="2B752673"/>
    <w:rsid w:val="2FE5B3BF"/>
    <w:rsid w:val="36C9194F"/>
    <w:rsid w:val="3ABE3A27"/>
    <w:rsid w:val="3D473B0B"/>
    <w:rsid w:val="3DFABF73"/>
    <w:rsid w:val="3DFF9862"/>
    <w:rsid w:val="3EDB07E3"/>
    <w:rsid w:val="3FB662B8"/>
    <w:rsid w:val="3FFF1DC5"/>
    <w:rsid w:val="4B7B64AD"/>
    <w:rsid w:val="57EF35D2"/>
    <w:rsid w:val="5F57315D"/>
    <w:rsid w:val="5FEF7F09"/>
    <w:rsid w:val="6BFF36E4"/>
    <w:rsid w:val="6FB732DF"/>
    <w:rsid w:val="75FB8B86"/>
    <w:rsid w:val="76FFC817"/>
    <w:rsid w:val="77B6B7F3"/>
    <w:rsid w:val="7BAF52C6"/>
    <w:rsid w:val="99D15EE6"/>
    <w:rsid w:val="9BFF66B5"/>
    <w:rsid w:val="ABFBE320"/>
    <w:rsid w:val="B33BCC4A"/>
    <w:rsid w:val="DBFF8BDC"/>
    <w:rsid w:val="DEF56153"/>
    <w:rsid w:val="E1790A30"/>
    <w:rsid w:val="EDFF00D7"/>
    <w:rsid w:val="EEFF58BB"/>
    <w:rsid w:val="F2D78506"/>
    <w:rsid w:val="F3FF674D"/>
    <w:rsid w:val="F65FE9A8"/>
    <w:rsid w:val="F6EA432F"/>
    <w:rsid w:val="FC9FA6A4"/>
    <w:rsid w:val="FF7FBA0C"/>
    <w:rsid w:val="FF913DC7"/>
    <w:rsid w:val="FFABE956"/>
    <w:rsid w:val="FFBF68CC"/>
    <w:rsid w:val="FFEFD860"/>
    <w:rsid w:val="FFFC42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rFonts w:ascii="Calibri" w:hAnsi="Calibri" w:eastAsia="宋体" w:cs="宋体"/>
      <w:b/>
      <w:bCs/>
      <w:kern w:val="44"/>
      <w:sz w:val="44"/>
      <w:szCs w:val="44"/>
      <w:lang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eastAsia="仿宋_GB2312"/>
      <w:sz w:val="32"/>
      <w:szCs w:val="21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6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styleId="9">
    <w:name w:val="page number"/>
    <w:qFormat/>
    <w:uiPriority w:val="0"/>
  </w:style>
  <w:style w:type="character" w:customStyle="1" w:styleId="10">
    <w:name w:val="font8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8"/>
    <w:qFormat/>
    <w:uiPriority w:val="0"/>
    <w:rPr>
      <w:rFonts w:hint="default" w:ascii="MingLiU" w:hAnsi="MingLiU" w:eastAsia="MingLiU" w:cs="MingLiU"/>
      <w:color w:val="000000"/>
      <w:sz w:val="24"/>
      <w:szCs w:val="24"/>
      <w:u w:val="none"/>
    </w:rPr>
  </w:style>
  <w:style w:type="character" w:customStyle="1" w:styleId="12">
    <w:name w:val="font51"/>
    <w:basedOn w:val="8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4173</Words>
  <Characters>4701</Characters>
  <Lines>1</Lines>
  <Paragraphs>1</Paragraphs>
  <TotalTime>893</TotalTime>
  <ScaleCrop>false</ScaleCrop>
  <LinksUpToDate>false</LinksUpToDate>
  <CharactersWithSpaces>5259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2020-09-29T11:46:00Z</dcterms:created>
  <dc:creator>lxj</dc:creator>
  <cp:lastModifiedBy>QYL</cp:lastModifiedBy>
  <cp:lastPrinted>2025-02-14T01:53:00Z</cp:lastPrinted>
  <dcterms:modified xsi:type="dcterms:W3CDTF">2025-02-14T15:26:35Z</dcterms:modified>
  <dc:title>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1E9088AC98E4459EB445F1D099F5F547_13</vt:lpwstr>
  </property>
  <property fmtid="{D5CDD505-2E9C-101B-9397-08002B2CF9AE}" pid="4" name="KSOTemplateDocerSaveRecord">
    <vt:lpwstr>eyJoZGlkIjoiZTllNzgzMGI0OTE2YTc3Mjc1OTJiOTI2MDJhZjNjMjAiLCJ1c2VySWQiOiIzNTI0OTA5NzEifQ==</vt:lpwstr>
  </property>
</Properties>
</file>