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2024年杭州市人工智能产业项目推荐汇总表</w:t>
      </w:r>
    </w:p>
    <w:p>
      <w:pPr>
        <w:widowControl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widowControl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区（县、市）经信部门（盖章）：</w:t>
      </w:r>
    </w:p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（一）算力券兑付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787"/>
        <w:gridCol w:w="3855"/>
        <w:gridCol w:w="3668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</w:rPr>
              <w:t>兑付额度（万元）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（二）多模态通用大模型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339"/>
        <w:gridCol w:w="2503"/>
        <w:gridCol w:w="1307"/>
        <w:gridCol w:w="1769"/>
        <w:gridCol w:w="3376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大模型名称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大模型参数量（B）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大模型训练总投入（万元）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大模型简介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</w:p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（三）垂直领域优秀专用模型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7"/>
        <w:gridCol w:w="2520"/>
        <w:gridCol w:w="2500"/>
        <w:gridCol w:w="3937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模型名称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模型研发投入（万元）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模型简介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（四）标杆型应用场景示范项目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15"/>
        <w:gridCol w:w="2556"/>
        <w:gridCol w:w="2468"/>
        <w:gridCol w:w="395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项目投资（万元）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ind w:firstLine="364"/>
        <w:rPr>
          <w:rFonts w:hint="eastAsia"/>
        </w:rPr>
      </w:pPr>
    </w:p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（五）市级人工智标杆产业园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20"/>
        <w:gridCol w:w="1899"/>
        <w:gridCol w:w="2177"/>
        <w:gridCol w:w="2061"/>
        <w:gridCol w:w="1939"/>
        <w:gridCol w:w="221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产业园名称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产业园总建筑面积（平方米）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2023年度入驻企业总营收（万元）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2023年度园区运营费用（万元）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单位和产业园简介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p>
      <w:pPr>
        <w:widowControl/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（六）人工智能公共服务示范平台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23"/>
        <w:gridCol w:w="1894"/>
        <w:gridCol w:w="2120"/>
        <w:gridCol w:w="2089"/>
        <w:gridCol w:w="419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平台名称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2023年度平台服务交易额（万元）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2023年度平台运营费用（万元）</w:t>
            </w:r>
          </w:p>
        </w:tc>
        <w:tc>
          <w:tcPr>
            <w:tcW w:w="41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单位和平台简介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bCs/>
        </w:rPr>
        <w:sectPr>
          <w:pgSz w:w="16838" w:h="11906" w:orient="landscape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zA2NjM3NTM0MDFiNDA3NjA5Njc4NmQ0ZjY0ZTYifQ=="/>
  </w:docVars>
  <w:rsids>
    <w:rsidRoot w:val="00000000"/>
    <w:rsid w:val="1EC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2024-06-17T03:06:13Z</dcterms:created>
  <dc:creator>zwwwvpn</dc:creator>
  <cp:lastModifiedBy>zwwwvpn</cp:lastModifiedBy>
  <dcterms:modified xsi:type="dcterms:W3CDTF">2024-06-17T03:08:18Z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CBC619E0FC6B4E8BB9D52A3BC152F0AB_12</vt:lpwstr>
  </property>
</Properties>
</file>